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color w:val="000000"/>
          <w:sz w:val="28"/>
          <w:szCs w:val="28"/>
        </w:rPr>
      </w:pPr>
      <w:r>
        <w:rPr>
          <w:rFonts w:hint="eastAsia" w:ascii="黑体" w:hAnsi="黑体" w:eastAsia="黑体"/>
          <w:color w:val="000000"/>
          <w:sz w:val="28"/>
          <w:szCs w:val="28"/>
        </w:rPr>
        <w:t>附件</w:t>
      </w:r>
    </w:p>
    <w:p>
      <w:pPr>
        <w:spacing w:line="360" w:lineRule="auto"/>
        <w:jc w:val="center"/>
        <w:rPr>
          <w:rFonts w:hint="default" w:ascii="Times New Roman" w:hAnsi="Times New Roman" w:cs="Times New Roman"/>
          <w:b/>
          <w:bCs/>
          <w:sz w:val="30"/>
          <w:szCs w:val="30"/>
        </w:rPr>
      </w:pPr>
      <w:r>
        <w:rPr>
          <w:rFonts w:hint="default" w:ascii="Times New Roman" w:hAnsi="Times New Roman" w:cs="Times New Roman"/>
          <w:b/>
          <w:bCs/>
          <w:sz w:val="30"/>
          <w:szCs w:val="30"/>
        </w:rPr>
        <w:t>202</w:t>
      </w:r>
      <w:r>
        <w:rPr>
          <w:rFonts w:hint="default" w:ascii="Times New Roman" w:hAnsi="Times New Roman" w:cs="Times New Roman"/>
          <w:b/>
          <w:bCs/>
          <w:sz w:val="30"/>
          <w:szCs w:val="30"/>
          <w:lang w:val="en-US" w:eastAsia="zh-CN"/>
        </w:rPr>
        <w:t>5</w:t>
      </w:r>
      <w:r>
        <w:rPr>
          <w:rFonts w:hint="default" w:ascii="Times New Roman" w:hAnsi="Times New Roman" w:cs="Times New Roman"/>
          <w:b/>
          <w:bCs/>
          <w:sz w:val="30"/>
          <w:szCs w:val="30"/>
        </w:rPr>
        <w:t>年招聘单位、岗位、人数、专业、学历和范围及资格条件</w:t>
      </w:r>
    </w:p>
    <w:tbl>
      <w:tblPr>
        <w:tblStyle w:val="4"/>
        <w:tblW w:w="10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26"/>
        <w:gridCol w:w="392"/>
        <w:gridCol w:w="2245"/>
        <w:gridCol w:w="2858"/>
        <w:gridCol w:w="851"/>
        <w:gridCol w:w="2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817"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单位</w:t>
            </w:r>
          </w:p>
        </w:tc>
        <w:tc>
          <w:tcPr>
            <w:tcW w:w="1026"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岗位</w:t>
            </w:r>
          </w:p>
        </w:tc>
        <w:tc>
          <w:tcPr>
            <w:tcW w:w="392"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人</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数</w:t>
            </w:r>
          </w:p>
        </w:tc>
        <w:tc>
          <w:tcPr>
            <w:tcW w:w="2245"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岗位</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职责</w:t>
            </w:r>
          </w:p>
        </w:tc>
        <w:tc>
          <w:tcPr>
            <w:tcW w:w="2858"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招聘专业及学历</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（学位）要求</w:t>
            </w:r>
          </w:p>
        </w:tc>
        <w:tc>
          <w:tcPr>
            <w:tcW w:w="851"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招聘</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范围</w:t>
            </w:r>
          </w:p>
        </w:tc>
        <w:tc>
          <w:tcPr>
            <w:tcW w:w="2385" w:type="dxa"/>
            <w:vAlign w:val="center"/>
          </w:tcPr>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其他资</w:t>
            </w:r>
          </w:p>
          <w:p>
            <w:pPr>
              <w:spacing w:line="240" w:lineRule="exact"/>
              <w:jc w:val="center"/>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宁波</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大学附属</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妇女儿童医院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审计</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承担医院</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各类运营审计、落实审计要求，评价医疗服务的效率及科室日常工作</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等</w:t>
            </w:r>
            <w:r>
              <w:rPr>
                <w:rFonts w:hint="eastAsia" w:cs="Times New Roman"/>
                <w:color w:val="0D0D0D" w:themeColor="text1" w:themeTint="F2"/>
                <w:sz w:val="18"/>
                <w:szCs w:val="18"/>
                <w:lang w:eastAsia="zh-CN"/>
                <w14:textFill>
                  <w14:solidFill>
                    <w14:schemeClr w14:val="tx1">
                      <w14:lumMod w14:val="95000"/>
                      <w14:lumOff w14:val="5000"/>
                    </w14:schemeClr>
                  </w14:solidFill>
                </w14:textFill>
              </w:rPr>
              <w:t>。</w:t>
            </w:r>
          </w:p>
        </w:tc>
        <w:tc>
          <w:tcPr>
            <w:tcW w:w="285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D0D0D" w:themeColor="text1" w:themeTint="F2"/>
                <w:kern w:val="0"/>
                <w:sz w:val="18"/>
                <w:szCs w:val="18"/>
                <w14:textFill>
                  <w14:solidFill>
                    <w14:schemeClr w14:val="tx1">
                      <w14:lumMod w14:val="95000"/>
                      <w14:lumOff w14:val="5000"/>
                    </w14:schemeClr>
                  </w14:solidFill>
                </w14:textFill>
              </w:rPr>
            </w:pP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审计、</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审计学</w:t>
            </w: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研究生</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及以上</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学历</w:t>
            </w:r>
            <w:r>
              <w:rPr>
                <w:rFonts w:hint="default" w:ascii="Times New Roman" w:hAnsi="Times New Roman" w:eastAsia="宋体" w:cs="Times New Roman"/>
                <w:color w:val="0D0D0D" w:themeColor="text1" w:themeTint="F2"/>
                <w:sz w:val="18"/>
                <w:szCs w:val="18"/>
                <w:shd w:val="clear" w:color="auto" w:fill="FFFFFF"/>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t>硕士及以上学位</w:t>
            </w:r>
            <w:r>
              <w:rPr>
                <w:rFonts w:hint="eastAsia" w:cs="Times New Roman"/>
                <w:color w:val="0D0D0D" w:themeColor="text1" w:themeTint="F2"/>
                <w:sz w:val="18"/>
                <w:szCs w:val="18"/>
                <w:shd w:val="clear" w:color="auto" w:fill="FFFFFF"/>
                <w:lang w:eastAsia="zh-CN"/>
                <w14:textFill>
                  <w14:solidFill>
                    <w14:schemeClr w14:val="tx1">
                      <w14:lumMod w14:val="95000"/>
                      <w14:lumOff w14:val="5000"/>
                    </w14:schemeClr>
                  </w14:solidFill>
                </w14:textFill>
              </w:rPr>
              <w:t>。</w:t>
            </w:r>
          </w:p>
        </w:tc>
        <w:tc>
          <w:tcPr>
            <w:tcW w:w="851"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14:textFill>
                  <w14:solidFill>
                    <w14:schemeClr w14:val="tx1">
                      <w14:lumMod w14:val="95000"/>
                      <w14:lumOff w14:val="5000"/>
                    </w14:schemeClr>
                  </w14:solidFill>
                </w14:textFill>
              </w:rPr>
              <w:t>面向全国</w:t>
            </w:r>
          </w:p>
        </w:tc>
        <w:tc>
          <w:tcPr>
            <w:tcW w:w="2385" w:type="dxa"/>
            <w:vAlign w:val="center"/>
          </w:tcPr>
          <w:p>
            <w:pPr>
              <w:widowControl/>
              <w:spacing w:line="240" w:lineRule="exact"/>
              <w:jc w:val="lef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符合下列条件之一：</w:t>
            </w:r>
          </w:p>
          <w:p>
            <w:pPr>
              <w:widowControl/>
              <w:spacing w:line="240" w:lineRule="exact"/>
              <w:jc w:val="left"/>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1.2025年普通高等院校应届毕业生；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val="0"/>
                <w:bCs w:val="0"/>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00000"/>
                <w:sz w:val="18"/>
                <w:szCs w:val="18"/>
                <w:lang w:val="en-US" w:eastAsia="zh-CN"/>
              </w:rPr>
              <w:t>2.有3年</w:t>
            </w:r>
            <w:r>
              <w:rPr>
                <w:rFonts w:hint="eastAsia" w:cs="Times New Roman"/>
                <w:color w:val="000000"/>
                <w:sz w:val="18"/>
                <w:szCs w:val="18"/>
                <w:lang w:val="en-US" w:eastAsia="zh-CN"/>
              </w:rPr>
              <w:t>及</w:t>
            </w:r>
            <w:r>
              <w:rPr>
                <w:rFonts w:hint="default" w:ascii="Times New Roman" w:hAnsi="Times New Roman" w:eastAsia="宋体" w:cs="Times New Roman"/>
                <w:color w:val="000000"/>
                <w:sz w:val="18"/>
                <w:szCs w:val="18"/>
                <w:lang w:val="en-US" w:eastAsia="zh-CN"/>
              </w:rPr>
              <w:t>以上审计相关工作经历，</w:t>
            </w:r>
            <w:r>
              <w:rPr>
                <w:rFonts w:hint="eastAsia" w:cs="Times New Roman"/>
                <w:color w:val="000000"/>
                <w:sz w:val="18"/>
                <w:szCs w:val="18"/>
                <w:lang w:val="en-US" w:eastAsia="zh-CN"/>
              </w:rPr>
              <w:t>历届生，</w:t>
            </w:r>
            <w:r>
              <w:rPr>
                <w:rFonts w:hint="default" w:ascii="Times New Roman" w:hAnsi="Times New Roman" w:eastAsia="宋体" w:cs="Times New Roman"/>
                <w:color w:val="000000"/>
                <w:sz w:val="18"/>
                <w:szCs w:val="18"/>
                <w:lang w:val="en-US" w:eastAsia="zh-CN"/>
              </w:rPr>
              <w:t>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宁波大学附属康宁医院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1</w:t>
            </w:r>
            <w:r>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t>名）</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康复医师</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承担医院</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精神康复</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相关工作</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等。</w:t>
            </w:r>
          </w:p>
        </w:tc>
        <w:tc>
          <w:tcPr>
            <w:tcW w:w="2858"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临床医学（康复医学方向）</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、精神医学</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本科及以上学历</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学士及以上学位。</w:t>
            </w:r>
          </w:p>
        </w:tc>
        <w:tc>
          <w:tcPr>
            <w:tcW w:w="851"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面向全国</w:t>
            </w:r>
          </w:p>
        </w:tc>
        <w:tc>
          <w:tcPr>
            <w:tcW w:w="2385" w:type="dxa"/>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符合下列条件之一：</w:t>
            </w:r>
          </w:p>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1.202</w:t>
            </w:r>
            <w:r>
              <w:rPr>
                <w:rFonts w:hint="eastAsia" w:cs="Times New Roman"/>
                <w:sz w:val="18"/>
                <w:szCs w:val="18"/>
                <w:lang w:val="en-US" w:eastAsia="zh-CN"/>
              </w:rPr>
              <w:t>5</w:t>
            </w:r>
            <w:r>
              <w:rPr>
                <w:rFonts w:hint="default" w:ascii="Times New Roman" w:hAnsi="Times New Roman" w:cs="Times New Roman"/>
                <w:sz w:val="18"/>
                <w:szCs w:val="18"/>
              </w:rPr>
              <w:t>年普通高等院校应届毕业生；</w:t>
            </w:r>
          </w:p>
          <w:p>
            <w:pPr>
              <w:widowControl/>
              <w:spacing w:line="240" w:lineRule="exact"/>
              <w:jc w:val="left"/>
              <w:textAlignment w:val="center"/>
              <w:rPr>
                <w:rFonts w:hint="default" w:ascii="Times New Roman" w:hAnsi="Times New Roman" w:eastAsia="宋体" w:cs="Times New Roman"/>
                <w:bCs/>
                <w:color w:val="0D0D0D" w:themeColor="text1" w:themeTint="F2"/>
                <w:kern w:val="2"/>
                <w:sz w:val="18"/>
                <w:szCs w:val="18"/>
                <w:lang w:val="en-US" w:eastAsia="zh-CN" w:bidi="ar-SA"/>
                <w14:textFill>
                  <w14:solidFill>
                    <w14:schemeClr w14:val="tx1">
                      <w14:lumMod w14:val="95000"/>
                      <w14:lumOff w14:val="5000"/>
                    </w14:schemeClr>
                  </w14:solidFill>
                </w14:textFill>
              </w:rPr>
            </w:pPr>
            <w:r>
              <w:rPr>
                <w:rFonts w:hint="default" w:ascii="Times New Roman" w:hAnsi="Times New Roman" w:cs="Times New Roman"/>
                <w:bCs/>
                <w:sz w:val="18"/>
                <w:szCs w:val="18"/>
              </w:rPr>
              <w:t>2.有</w:t>
            </w:r>
            <w:r>
              <w:rPr>
                <w:rFonts w:hint="eastAsia" w:cs="Times New Roman"/>
                <w:bCs/>
                <w:sz w:val="18"/>
                <w:szCs w:val="18"/>
                <w:lang w:val="en-US" w:eastAsia="zh-CN"/>
              </w:rPr>
              <w:t>1</w:t>
            </w:r>
            <w:r>
              <w:rPr>
                <w:rFonts w:hint="default" w:ascii="Times New Roman" w:hAnsi="Times New Roman" w:cs="Times New Roman"/>
                <w:bCs/>
                <w:sz w:val="18"/>
                <w:szCs w:val="18"/>
              </w:rPr>
              <w:t>年及以上</w:t>
            </w:r>
            <w:r>
              <w:rPr>
                <w:rFonts w:hint="eastAsia" w:cs="Times New Roman"/>
                <w:bCs/>
                <w:sz w:val="18"/>
                <w:szCs w:val="18"/>
                <w:lang w:eastAsia="zh-CN"/>
              </w:rPr>
              <w:t>三级医院</w:t>
            </w:r>
            <w:r>
              <w:rPr>
                <w:rFonts w:hint="default" w:ascii="Times New Roman" w:hAnsi="Times New Roman" w:cs="Times New Roman"/>
                <w:bCs/>
                <w:sz w:val="18"/>
                <w:szCs w:val="18"/>
              </w:rPr>
              <w:t>工作经历；具有执业医师资格；历届生，年龄35周岁以下。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cs="Times New Roman"/>
                <w:bCs/>
                <w:color w:val="0D0D0D" w:themeColor="text1" w:themeTint="F2"/>
                <w:sz w:val="18"/>
                <w:szCs w:val="18"/>
                <w:lang w:eastAsia="zh-CN"/>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宁波</w:t>
            </w:r>
            <w:r>
              <w:rPr>
                <w:rFonts w:hint="eastAsia" w:cs="Times New Roman"/>
                <w:bCs/>
                <w:color w:val="0D0D0D" w:themeColor="text1" w:themeTint="F2"/>
                <w:sz w:val="18"/>
                <w:szCs w:val="18"/>
                <w:lang w:eastAsia="zh-CN"/>
                <w14:textFill>
                  <w14:solidFill>
                    <w14:schemeClr w14:val="tx1">
                      <w14:lumMod w14:val="95000"/>
                      <w14:lumOff w14:val="5000"/>
                    </w14:schemeClr>
                  </w14:solidFill>
                </w14:textFill>
              </w:rPr>
              <w:t>市</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r>
              <w:rPr>
                <w:rFonts w:hint="eastAsia" w:cs="Times New Roman"/>
                <w:bCs/>
                <w:color w:val="0D0D0D" w:themeColor="text1" w:themeTint="F2"/>
                <w:sz w:val="18"/>
                <w:szCs w:val="18"/>
                <w:lang w:eastAsia="zh-CN"/>
                <w14:textFill>
                  <w14:solidFill>
                    <w14:schemeClr w14:val="tx1">
                      <w14:lumMod w14:val="95000"/>
                      <w14:lumOff w14:val="5000"/>
                    </w14:schemeClr>
                  </w14:solidFill>
                </w14:textFill>
              </w:rPr>
              <w:t>华慈医院</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14:textFill>
                  <w14:solidFill>
                    <w14:schemeClr w14:val="tx1">
                      <w14:lumMod w14:val="95000"/>
                      <w14:lumOff w14:val="5000"/>
                    </w14:schemeClr>
                  </w14:solidFill>
                </w14:textFill>
              </w:rPr>
            </w:pP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r>
              <w:rPr>
                <w:rFonts w:hint="eastAsia" w:cs="Times New Roman"/>
                <w:bCs/>
                <w:color w:val="0D0D0D" w:themeColor="text1" w:themeTint="F2"/>
                <w:sz w:val="18"/>
                <w:szCs w:val="18"/>
                <w:lang w:val="en-US" w:eastAsia="zh-CN"/>
                <w14:textFill>
                  <w14:solidFill>
                    <w14:schemeClr w14:val="tx1">
                      <w14:lumMod w14:val="95000"/>
                      <w14:lumOff w14:val="5000"/>
                    </w14:schemeClr>
                  </w14:solidFill>
                </w14:textFill>
              </w:rPr>
              <w:t>2</w:t>
            </w:r>
            <w:r>
              <w:rPr>
                <w:rFonts w:hint="default" w:ascii="Times New Roman" w:hAnsi="Times New Roman" w:eastAsia="宋体" w:cs="Times New Roman"/>
                <w:bCs/>
                <w:color w:val="0D0D0D" w:themeColor="text1" w:themeTint="F2"/>
                <w:sz w:val="18"/>
                <w:szCs w:val="18"/>
                <w:lang w:val="en-US" w:eastAsia="zh-CN"/>
                <w14:textFill>
                  <w14:solidFill>
                    <w14:schemeClr w14:val="tx1">
                      <w14:lumMod w14:val="95000"/>
                      <w14:lumOff w14:val="5000"/>
                    </w14:schemeClr>
                  </w14:solidFill>
                </w14:textFill>
              </w:rPr>
              <w:t>名</w:t>
            </w:r>
            <w:r>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t>）</w:t>
            </w: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超声诊断</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（历届）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承担医院超声</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检查及</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诊断工作等。</w:t>
            </w:r>
          </w:p>
        </w:tc>
        <w:tc>
          <w:tcPr>
            <w:tcW w:w="28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临床医学、医学影像学、超声医学专业；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本科及以上学历</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学士及以上学位。</w:t>
            </w:r>
          </w:p>
        </w:tc>
        <w:tc>
          <w:tcPr>
            <w:tcW w:w="851"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面向全国</w:t>
            </w:r>
          </w:p>
        </w:tc>
        <w:tc>
          <w:tcPr>
            <w:tcW w:w="2385" w:type="dxa"/>
            <w:vAlign w:val="center"/>
          </w:tcPr>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w:t>
            </w:r>
            <w:r>
              <w:rPr>
                <w:rFonts w:hint="default" w:ascii="Times New Roman" w:hAnsi="Times New Roman" w:eastAsia="宋体" w:cs="Times New Roman"/>
                <w:kern w:val="2"/>
                <w:sz w:val="18"/>
                <w:szCs w:val="18"/>
                <w:highlight w:val="none"/>
                <w:lang w:val="en-US" w:eastAsia="zh-CN" w:bidi="ar-SA"/>
              </w:rPr>
              <w:t>有2年及以上医疗机构</w:t>
            </w:r>
            <w:r>
              <w:rPr>
                <w:rFonts w:hint="eastAsia" w:ascii="Times New Roman" w:hAnsi="Times New Roman" w:cs="Times New Roman"/>
                <w:kern w:val="2"/>
                <w:sz w:val="18"/>
                <w:szCs w:val="18"/>
                <w:highlight w:val="none"/>
                <w:lang w:val="en-US" w:eastAsia="zh-CN" w:bidi="ar-SA"/>
              </w:rPr>
              <w:t>超声诊断</w:t>
            </w:r>
            <w:r>
              <w:rPr>
                <w:rFonts w:hint="default" w:ascii="Times New Roman" w:hAnsi="Times New Roman" w:eastAsia="宋体" w:cs="Times New Roman"/>
                <w:kern w:val="2"/>
                <w:sz w:val="18"/>
                <w:szCs w:val="18"/>
                <w:highlight w:val="none"/>
                <w:lang w:val="en-US" w:eastAsia="zh-CN" w:bidi="ar-SA"/>
              </w:rPr>
              <w:t>工作经历；</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2.具有执业医师资格（执业范围为医学影像和放射治疗专业）和住院医师规范化培训合格证；</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kern w:val="2"/>
                <w:sz w:val="18"/>
                <w:szCs w:val="18"/>
                <w:lang w:val="en-US" w:eastAsia="zh-CN" w:bidi="ar-SA"/>
              </w:rPr>
              <w:t>3.年龄35周岁以下，中级及以上职称年龄放宽至40周岁以下。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0D0D0D" w:themeColor="text1" w:themeTint="F2"/>
                <w:sz w:val="18"/>
                <w:szCs w:val="18"/>
                <w:lang w:eastAsia="zh-CN"/>
                <w14:textFill>
                  <w14:solidFill>
                    <w14:schemeClr w14:val="tx1">
                      <w14:lumMod w14:val="95000"/>
                      <w14:lumOff w14:val="5000"/>
                    </w14:schemeClr>
                  </w14:solidFill>
                </w14:textFill>
              </w:rPr>
            </w:pPr>
          </w:p>
        </w:tc>
        <w:tc>
          <w:tcPr>
            <w:tcW w:w="102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影像诊断</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（历届）</w:t>
            </w:r>
          </w:p>
        </w:tc>
        <w:tc>
          <w:tcPr>
            <w:tcW w:w="392"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1</w:t>
            </w:r>
          </w:p>
        </w:tc>
        <w:tc>
          <w:tcPr>
            <w:tcW w:w="2245" w:type="dxa"/>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承担</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医院</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放射诊断工作</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等</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w:t>
            </w:r>
          </w:p>
        </w:tc>
        <w:tc>
          <w:tcPr>
            <w:tcW w:w="285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医学影像</w:t>
            </w: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学</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专业；</w:t>
            </w:r>
          </w:p>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本科及以上学历</w:t>
            </w:r>
            <w:r>
              <w:rPr>
                <w:rFonts w:hint="eastAsia"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且</w:t>
            </w: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学士及以上学位。</w:t>
            </w:r>
          </w:p>
        </w:tc>
        <w:tc>
          <w:tcPr>
            <w:tcW w:w="851"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t>面向全国</w:t>
            </w:r>
          </w:p>
        </w:tc>
        <w:tc>
          <w:tcPr>
            <w:tcW w:w="2385" w:type="dxa"/>
            <w:vAlign w:val="center"/>
          </w:tcPr>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w:t>
            </w:r>
            <w:r>
              <w:rPr>
                <w:rFonts w:hint="default" w:ascii="Times New Roman" w:hAnsi="Times New Roman" w:eastAsia="宋体" w:cs="Times New Roman"/>
                <w:kern w:val="2"/>
                <w:sz w:val="18"/>
                <w:szCs w:val="18"/>
                <w:highlight w:val="none"/>
                <w:lang w:val="en-US" w:eastAsia="zh-CN" w:bidi="ar-SA"/>
              </w:rPr>
              <w:t>有2年及以上医疗机构</w:t>
            </w:r>
            <w:r>
              <w:rPr>
                <w:rFonts w:hint="eastAsia" w:ascii="Times New Roman" w:hAnsi="Times New Roman" w:cs="Times New Roman"/>
                <w:kern w:val="2"/>
                <w:sz w:val="18"/>
                <w:szCs w:val="18"/>
                <w:highlight w:val="none"/>
                <w:lang w:val="en-US" w:eastAsia="zh-CN" w:bidi="ar-SA"/>
              </w:rPr>
              <w:t>影像诊断</w:t>
            </w:r>
            <w:r>
              <w:rPr>
                <w:rFonts w:hint="default" w:ascii="Times New Roman" w:hAnsi="Times New Roman" w:eastAsia="宋体" w:cs="Times New Roman"/>
                <w:kern w:val="2"/>
                <w:sz w:val="18"/>
                <w:szCs w:val="18"/>
                <w:highlight w:val="none"/>
                <w:lang w:val="en-US" w:eastAsia="zh-CN" w:bidi="ar-SA"/>
              </w:rPr>
              <w:t>工作经历；</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exact"/>
              <w:textAlignment w:val="center"/>
              <w:outlineLvl w:val="9"/>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2.具有执业医师资格</w:t>
            </w:r>
            <w:r>
              <w:rPr>
                <w:rFonts w:hint="default" w:ascii="Times New Roman" w:hAnsi="Times New Roman" w:eastAsia="宋体" w:cs="Times New Roman"/>
                <w:kern w:val="2"/>
                <w:sz w:val="18"/>
                <w:szCs w:val="18"/>
                <w:highlight w:val="none"/>
                <w:lang w:val="en-US" w:eastAsia="zh-CN" w:bidi="ar-SA"/>
              </w:rPr>
              <w:t>（执业范围为医学影像和放射治疗专业）</w:t>
            </w:r>
            <w:bookmarkStart w:id="0" w:name="_GoBack"/>
            <w:bookmarkEnd w:id="0"/>
            <w:r>
              <w:rPr>
                <w:rFonts w:hint="default" w:ascii="Times New Roman" w:hAnsi="Times New Roman" w:eastAsia="宋体" w:cs="Times New Roman"/>
                <w:kern w:val="2"/>
                <w:sz w:val="18"/>
                <w:szCs w:val="18"/>
                <w:lang w:val="en-US" w:eastAsia="zh-CN" w:bidi="ar-SA"/>
              </w:rPr>
              <w:t>和住院医师规范化培训合格证；</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default" w:ascii="Times New Roman" w:hAnsi="Times New Roman" w:eastAsia="宋体" w:cs="Times New Roman"/>
                <w:color w:val="0D0D0D" w:themeColor="text1" w:themeTint="F2"/>
                <w:sz w:val="18"/>
                <w:szCs w:val="18"/>
                <w:shd w:val="clear" w:color="auto" w:fill="FFFFFF"/>
                <w14:textFill>
                  <w14:solidFill>
                    <w14:schemeClr w14:val="tx1">
                      <w14:lumMod w14:val="95000"/>
                      <w14:lumOff w14:val="5000"/>
                    </w14:schemeClr>
                  </w14:solidFill>
                </w14:textFill>
              </w:rPr>
            </w:pPr>
            <w:r>
              <w:rPr>
                <w:rFonts w:hint="default" w:ascii="Times New Roman" w:hAnsi="Times New Roman" w:eastAsia="宋体" w:cs="Times New Roman"/>
                <w:kern w:val="2"/>
                <w:sz w:val="18"/>
                <w:szCs w:val="18"/>
                <w:lang w:val="en-US" w:eastAsia="zh-CN" w:bidi="ar-SA"/>
              </w:rPr>
              <w:t>3.年龄35周岁以下，中级及以上职称年龄放宽至40周岁以下。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17" w:type="dxa"/>
            <w:tcBorders>
              <w:top w:val="single" w:color="auto" w:sz="4" w:space="0"/>
            </w:tcBorders>
            <w:vAlign w:val="center"/>
          </w:tcPr>
          <w:p>
            <w:pPr>
              <w:spacing w:line="240" w:lineRule="exact"/>
              <w:jc w:val="center"/>
              <w:rPr>
                <w:rFonts w:hint="default" w:ascii="Times New Roman" w:hAnsi="Times New Roman" w:eastAsia="宋体" w:cs="Times New Roman"/>
                <w:color w:val="0D0D0D" w:themeColor="text1" w:themeTint="F2"/>
                <w:sz w:val="18"/>
                <w:szCs w:val="18"/>
                <w:lang w:val="en-US" w:eastAsia="zh-CN"/>
                <w14:textFill>
                  <w14:solidFill>
                    <w14:schemeClr w14:val="tx1">
                      <w14:lumMod w14:val="95000"/>
                      <w14:lumOff w14:val="5000"/>
                    </w14:schemeClr>
                  </w14:solidFill>
                </w14:textFill>
              </w:rPr>
            </w:pPr>
            <w:r>
              <w:rPr>
                <w:rFonts w:hint="eastAsia" w:cs="Times New Roman"/>
                <w:color w:val="0D0D0D" w:themeColor="text1" w:themeTint="F2"/>
                <w:sz w:val="18"/>
                <w:szCs w:val="18"/>
                <w:lang w:val="en-US" w:eastAsia="zh-CN"/>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18"/>
                <w:szCs w:val="18"/>
                <w:lang w:val="en-US" w:eastAsia="zh-CN"/>
                <w14:textFill>
                  <w14:solidFill>
                    <w14:schemeClr w14:val="tx1">
                      <w14:lumMod w14:val="95000"/>
                      <w14:lumOff w14:val="5000"/>
                    </w14:schemeClr>
                  </w14:solidFill>
                </w14:textFill>
              </w:rPr>
              <w:t>名</w:t>
            </w:r>
          </w:p>
        </w:tc>
        <w:tc>
          <w:tcPr>
            <w:tcW w:w="1026" w:type="dxa"/>
            <w:vAlign w:val="center"/>
          </w:tcPr>
          <w:p>
            <w:pPr>
              <w:widowControl/>
              <w:spacing w:line="240" w:lineRule="exact"/>
              <w:jc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392" w:type="dxa"/>
            <w:vAlign w:val="center"/>
          </w:tcPr>
          <w:p>
            <w:pPr>
              <w:widowControl/>
              <w:spacing w:line="240" w:lineRule="exact"/>
              <w:jc w:val="center"/>
              <w:textAlignment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2245" w:type="dxa"/>
            <w:vAlign w:val="center"/>
          </w:tcPr>
          <w:p>
            <w:pPr>
              <w:widowControl/>
              <w:spacing w:line="240" w:lineRule="exact"/>
              <w:jc w:val="left"/>
              <w:textAlignment w:val="center"/>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c>
          <w:tcPr>
            <w:tcW w:w="2858" w:type="dxa"/>
            <w:tcBorders>
              <w:bottom w:val="single" w:color="auto" w:sz="4" w:space="0"/>
            </w:tcBorders>
            <w:vAlign w:val="center"/>
          </w:tcPr>
          <w:p>
            <w:pPr>
              <w:widowControl/>
              <w:spacing w:line="240" w:lineRule="exact"/>
              <w:rPr>
                <w:rFonts w:hint="default"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851" w:type="dxa"/>
            <w:tcBorders>
              <w:top w:val="single" w:color="auto" w:sz="4" w:space="0"/>
            </w:tcBorders>
            <w:vAlign w:val="center"/>
          </w:tcPr>
          <w:p>
            <w:pPr>
              <w:spacing w:line="240" w:lineRule="exact"/>
              <w:jc w:val="center"/>
              <w:rPr>
                <w:rFonts w:hint="default"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2385" w:type="dxa"/>
            <w:vAlign w:val="center"/>
          </w:tcPr>
          <w:p>
            <w:pPr>
              <w:widowControl/>
              <w:spacing w:line="240" w:lineRule="exact"/>
              <w:rPr>
                <w:rFonts w:hint="default" w:ascii="Times New Roman" w:hAnsi="Times New Roman" w:cs="Times New Roman"/>
                <w:bCs/>
                <w:color w:val="0D0D0D" w:themeColor="text1" w:themeTint="F2"/>
                <w:kern w:val="0"/>
                <w:sz w:val="18"/>
                <w:szCs w:val="18"/>
                <w14:textFill>
                  <w14:solidFill>
                    <w14:schemeClr w14:val="tx1">
                      <w14:lumMod w14:val="95000"/>
                      <w14:lumOff w14:val="5000"/>
                    </w14:schemeClr>
                  </w14:solidFill>
                </w14:textFill>
              </w:rPr>
            </w:pPr>
          </w:p>
        </w:tc>
      </w:tr>
    </w:tbl>
    <w:p>
      <w:pPr>
        <w:spacing w:line="360" w:lineRule="auto"/>
        <w:ind w:firstLine="480" w:firstLineChars="200"/>
        <w:rPr>
          <w:rFonts w:ascii="宋体" w:hAnsi="宋体" w:cs="宋体"/>
          <w:sz w:val="24"/>
          <w:szCs w:val="24"/>
        </w:rPr>
      </w:pP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w:t>
      </w: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1、2025年普通高等院校应届毕业生需在2025年9月30日取得相应的学历、学位。2024年10月1日至2025年9月30日毕业的国（境）外留学回国（境）人员可等同于国内2025年普通应届毕业生，报考时仍未毕业的可凭国（境）外学校学籍证明报名,但须于2025年12月31日前取得国家教育部出具的学历学位认证书（到时未取得的不予录用），专业相近的以所学课程为准。</w:t>
      </w:r>
    </w:p>
    <w:p>
      <w:pPr>
        <w:numPr>
          <w:ilvl w:val="0"/>
          <w:numId w:val="1"/>
        </w:num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除面向2025年普通高等院校应届毕业生的岗位外，其他岗位要求的学历（学位）、职称、执业资格、上岗合格证书、规培合格证书取得时间和年龄、工作经历计算截止时间均为公告发布之日。</w:t>
      </w: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下列情形者视同2025年普通应届毕业生对待：1.2023年、2024年普通高校毕业生（2022年10月1日至2024年9月30日毕业），或同期毕业并可在2025年12月底前取得学位证书和国家教育部出具的学历学位认证书的国（境）外留学人员；2.列入国家统招计划，由培养学校统一进行就业推荐和毕业派遣，按培养计划应于2025年毕业，有类似初次就业需求的非全日制研究生（不含在职攻读学历学位人员）；3.按国家政策规定享受应届毕业生就业待遇的其他情形。</w:t>
      </w:r>
    </w:p>
    <w:p>
      <w:pPr>
        <w:rPr>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A"/>
    <w:rsid w:val="002A0F2C"/>
    <w:rsid w:val="00510184"/>
    <w:rsid w:val="00621694"/>
    <w:rsid w:val="008A1CD7"/>
    <w:rsid w:val="00976AE4"/>
    <w:rsid w:val="009C089A"/>
    <w:rsid w:val="009D0492"/>
    <w:rsid w:val="00AE3D20"/>
    <w:rsid w:val="00B079D4"/>
    <w:rsid w:val="00B1316C"/>
    <w:rsid w:val="00BD3F8E"/>
    <w:rsid w:val="00C0449A"/>
    <w:rsid w:val="00D91AA6"/>
    <w:rsid w:val="00DC018A"/>
    <w:rsid w:val="00DC409F"/>
    <w:rsid w:val="00E27EDA"/>
    <w:rsid w:val="00F43D07"/>
    <w:rsid w:val="03C62E5F"/>
    <w:rsid w:val="07F325A3"/>
    <w:rsid w:val="09642C91"/>
    <w:rsid w:val="0C342342"/>
    <w:rsid w:val="0D5C246E"/>
    <w:rsid w:val="19135E74"/>
    <w:rsid w:val="1924366C"/>
    <w:rsid w:val="1B552CB2"/>
    <w:rsid w:val="1C5F67DE"/>
    <w:rsid w:val="1DAB35EB"/>
    <w:rsid w:val="216D4B0B"/>
    <w:rsid w:val="21DA616D"/>
    <w:rsid w:val="235D2E51"/>
    <w:rsid w:val="23604FED"/>
    <w:rsid w:val="24DA23D7"/>
    <w:rsid w:val="267FEC23"/>
    <w:rsid w:val="2D5F0DA7"/>
    <w:rsid w:val="2F1124CB"/>
    <w:rsid w:val="306306DB"/>
    <w:rsid w:val="318E44B0"/>
    <w:rsid w:val="33092369"/>
    <w:rsid w:val="33A27A47"/>
    <w:rsid w:val="379F4906"/>
    <w:rsid w:val="3AA456DE"/>
    <w:rsid w:val="3CD652B8"/>
    <w:rsid w:val="3D8F7006"/>
    <w:rsid w:val="3E0E0665"/>
    <w:rsid w:val="3EFE4700"/>
    <w:rsid w:val="3EFF3474"/>
    <w:rsid w:val="410E7FFE"/>
    <w:rsid w:val="4AA56B59"/>
    <w:rsid w:val="59F77F93"/>
    <w:rsid w:val="5DBB1A48"/>
    <w:rsid w:val="5DFBB7AB"/>
    <w:rsid w:val="5F120172"/>
    <w:rsid w:val="5FD71867"/>
    <w:rsid w:val="5FE010F1"/>
    <w:rsid w:val="5FFB2C8F"/>
    <w:rsid w:val="61050794"/>
    <w:rsid w:val="65003261"/>
    <w:rsid w:val="67703EEE"/>
    <w:rsid w:val="6A337B3E"/>
    <w:rsid w:val="6AAB3E3D"/>
    <w:rsid w:val="6B379FFC"/>
    <w:rsid w:val="6B42C7F4"/>
    <w:rsid w:val="6CF97660"/>
    <w:rsid w:val="6D146DDC"/>
    <w:rsid w:val="6EAB5020"/>
    <w:rsid w:val="6EAE00AE"/>
    <w:rsid w:val="6F99E9E7"/>
    <w:rsid w:val="73EFF08D"/>
    <w:rsid w:val="752F4183"/>
    <w:rsid w:val="76183433"/>
    <w:rsid w:val="76E068A4"/>
    <w:rsid w:val="774C5E8B"/>
    <w:rsid w:val="77BF7A44"/>
    <w:rsid w:val="78BFEC06"/>
    <w:rsid w:val="78FD54D8"/>
    <w:rsid w:val="79ADEBD1"/>
    <w:rsid w:val="7A4F5C1D"/>
    <w:rsid w:val="7B4DE1F7"/>
    <w:rsid w:val="7B7BBCF0"/>
    <w:rsid w:val="7C5D54B6"/>
    <w:rsid w:val="7DAFCD76"/>
    <w:rsid w:val="7DC5F709"/>
    <w:rsid w:val="7DFDA5E8"/>
    <w:rsid w:val="7E05056C"/>
    <w:rsid w:val="7E6FEAA3"/>
    <w:rsid w:val="7EAF9B91"/>
    <w:rsid w:val="7F8B6707"/>
    <w:rsid w:val="7F9F46D7"/>
    <w:rsid w:val="7FBEE669"/>
    <w:rsid w:val="7FFB0E06"/>
    <w:rsid w:val="9F3FB091"/>
    <w:rsid w:val="A8FDCACD"/>
    <w:rsid w:val="B7EF0740"/>
    <w:rsid w:val="BC7F1AD1"/>
    <w:rsid w:val="C797ED0E"/>
    <w:rsid w:val="CFF20A1A"/>
    <w:rsid w:val="D9972258"/>
    <w:rsid w:val="DCCD2E1B"/>
    <w:rsid w:val="DDB391EB"/>
    <w:rsid w:val="DDDD5536"/>
    <w:rsid w:val="DFBCE97B"/>
    <w:rsid w:val="E7AEE679"/>
    <w:rsid w:val="E7FF8B49"/>
    <w:rsid w:val="EDFF51EE"/>
    <w:rsid w:val="EEB77091"/>
    <w:rsid w:val="EF7A6F84"/>
    <w:rsid w:val="F66B6C9C"/>
    <w:rsid w:val="F7B1C3D8"/>
    <w:rsid w:val="FB2D1D0B"/>
    <w:rsid w:val="FB73F566"/>
    <w:rsid w:val="FBFD84A5"/>
    <w:rsid w:val="FCEFCF92"/>
    <w:rsid w:val="FDB5BD62"/>
    <w:rsid w:val="FDFF5C45"/>
    <w:rsid w:val="FF7B0683"/>
    <w:rsid w:val="FFBD5A71"/>
    <w:rsid w:val="FFEF8897"/>
    <w:rsid w:val="FFF6585A"/>
    <w:rsid w:val="FFF728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pPr>
    <w:rPr>
      <w:rFonts w:asciiTheme="minorHAnsi" w:hAnsiTheme="minorHAnsi" w:cstheme="minorBidi"/>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color w:val="000000"/>
      <w:sz w:val="16"/>
      <w:szCs w:val="16"/>
      <w:u w:val="none"/>
    </w:rPr>
  </w:style>
  <w:style w:type="character" w:customStyle="1" w:styleId="8">
    <w:name w:val="font11"/>
    <w:basedOn w:val="6"/>
    <w:qFormat/>
    <w:uiPriority w:val="0"/>
    <w:rPr>
      <w:rFonts w:hint="default" w:ascii="楷体_GB2312" w:eastAsia="楷体_GB2312" w:cs="楷体_GB2312"/>
      <w:color w:val="000000"/>
      <w:sz w:val="16"/>
      <w:szCs w:val="16"/>
      <w:u w:val="none"/>
    </w:rPr>
  </w:style>
  <w:style w:type="character" w:customStyle="1" w:styleId="9">
    <w:name w:val="页脚 字符"/>
    <w:link w:val="2"/>
    <w:qFormat/>
    <w:locked/>
    <w:uiPriority w:val="0"/>
    <w:rPr>
      <w:rFonts w:eastAsia="宋体"/>
      <w:sz w:val="18"/>
      <w:szCs w:val="18"/>
    </w:rPr>
  </w:style>
  <w:style w:type="character" w:customStyle="1" w:styleId="10">
    <w:name w:val="页脚 字符1"/>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368</Words>
  <Characters>2103</Characters>
  <Lines>17</Lines>
  <Paragraphs>4</Paragraphs>
  <TotalTime>41</TotalTime>
  <ScaleCrop>false</ScaleCrop>
  <LinksUpToDate>false</LinksUpToDate>
  <CharactersWithSpaces>2467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2023-12-31T04:45:00Z</dcterms:created>
  <dc:creator>琼 阮</dc:creator>
  <cp:lastModifiedBy>user</cp:lastModifiedBy>
  <cp:lastPrinted>2025-05-15T01:36:00Z</cp:lastPrinted>
  <dcterms:modified xsi:type="dcterms:W3CDTF">2025-05-14T19:26:14Z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