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方正小标宋简体"/>
          <w:kern w:val="0"/>
          <w:szCs w:val="32"/>
          <w:highlight w:val="none"/>
        </w:rPr>
      </w:pPr>
      <w:r>
        <w:rPr>
          <w:rFonts w:hint="eastAsia" w:ascii="黑体" w:hAnsi="黑体" w:eastAsia="黑体" w:cs="方正小标宋简体"/>
          <w:kern w:val="0"/>
          <w:szCs w:val="32"/>
          <w:highlight w:val="none"/>
        </w:rPr>
        <w:t>附件1</w:t>
      </w:r>
    </w:p>
    <w:p>
      <w:pPr>
        <w:spacing w:line="580" w:lineRule="exact"/>
        <w:jc w:val="center"/>
        <w:rPr>
          <w:rFonts w:hint="eastAsia" w:ascii="创艺简标宋" w:hAnsi="方正小标宋简体" w:eastAsia="创艺简标宋" w:cs="方正小标宋简体"/>
          <w:kern w:val="0"/>
          <w:sz w:val="36"/>
          <w:szCs w:val="36"/>
        </w:rPr>
      </w:pPr>
      <w:r>
        <w:rPr>
          <w:rFonts w:hint="eastAsia" w:ascii="创艺简标宋" w:hAnsi="方正小标宋简体" w:eastAsia="创艺简标宋" w:cs="方正小标宋简体"/>
          <w:kern w:val="0"/>
          <w:sz w:val="36"/>
          <w:szCs w:val="36"/>
        </w:rPr>
        <w:t>2025年宁波高新区事业单位优秀人才</w:t>
      </w:r>
      <w:bookmarkStart w:id="0" w:name="_GoBack"/>
      <w:r>
        <w:rPr>
          <w:rFonts w:hint="eastAsia" w:ascii="创艺简标宋" w:hAnsi="方正小标宋简体" w:eastAsia="创艺简标宋" w:cs="方正小标宋简体"/>
          <w:kern w:val="0"/>
          <w:sz w:val="36"/>
          <w:szCs w:val="36"/>
        </w:rPr>
        <w:t>招聘岗位、人数及资格条件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创艺简标宋" w:hAnsi="方正小标宋简体" w:eastAsia="创艺简标宋" w:cs="方正小标宋简体"/>
          <w:kern w:val="0"/>
          <w:sz w:val="36"/>
          <w:szCs w:val="36"/>
        </w:rPr>
      </w:pPr>
    </w:p>
    <w:tbl>
      <w:tblPr>
        <w:tblStyle w:val="4"/>
        <w:tblW w:w="13669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707"/>
        <w:gridCol w:w="1556"/>
        <w:gridCol w:w="2062"/>
        <w:gridCol w:w="6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3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战略研究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</w:rPr>
              <w:t>1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研究生学历，</w:t>
            </w:r>
          </w:p>
          <w:p>
            <w:pPr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博士学位</w:t>
            </w:r>
          </w:p>
        </w:tc>
        <w:tc>
          <w:tcPr>
            <w:tcW w:w="6338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理论经济学、应用经济学、材料科学与工程、软件工程、计算机科学与技术、管理科学与工程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>智能制造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sz w:val="22"/>
              </w:rPr>
            </w:pPr>
          </w:p>
        </w:tc>
        <w:tc>
          <w:tcPr>
            <w:tcW w:w="6338" w:type="dxa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电子科学与技术、信息与通信工程、计算机科学与技术、软件工程、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lang w:eastAsia="zh-CN"/>
              </w:rPr>
              <w:t>控制科学与工程、材料科学与工程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>城市规划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</w:rPr>
              <w:t>1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38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/>
                <w:color w:val="000000"/>
                <w:kern w:val="0"/>
                <w:sz w:val="22"/>
              </w:rPr>
              <w:t>城乡规划学、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测绘科学与技术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生物医药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</w:rPr>
              <w:t>1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6338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生物学、基础医学、临床医学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数据统计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sz w:val="22"/>
              </w:rPr>
              <w:t>1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6338" w:type="dxa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</w:rPr>
              <w:t>数学、统计学、计算机科学与技术</w:t>
            </w:r>
          </w:p>
        </w:tc>
      </w:tr>
    </w:tbl>
    <w:p>
      <w:pPr>
        <w:snapToGrid w:val="0"/>
        <w:spacing w:line="440" w:lineRule="exact"/>
        <w:jc w:val="left"/>
        <w:textAlignment w:val="center"/>
      </w:pPr>
      <w:r>
        <w:rPr>
          <w:rFonts w:hint="eastAsia" w:ascii="楷体_GB2312" w:eastAsia="楷体_GB2312"/>
          <w:kern w:val="0"/>
          <w:sz w:val="24"/>
        </w:rPr>
        <w:t>备注：</w:t>
      </w:r>
      <w:r>
        <w:rPr>
          <w:rFonts w:hint="eastAsia" w:ascii="楷体_GB2312" w:eastAsia="楷体_GB2312"/>
          <w:kern w:val="0"/>
          <w:sz w:val="24"/>
          <w:lang w:eastAsia="zh-CN"/>
        </w:rPr>
        <w:t>以上专业均为一级学科；国（境）外高校</w:t>
      </w:r>
      <w:r>
        <w:rPr>
          <w:rFonts w:hint="eastAsia" w:ascii="楷体_GB2312" w:eastAsia="楷体_GB2312"/>
          <w:kern w:val="0"/>
          <w:sz w:val="24"/>
        </w:rPr>
        <w:t>专业名称相近的以所学课程为准。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B289"/>
    <w:rsid w:val="798BB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2025-03-20T17:48:00Z</dcterms:created>
  <dc:creator>guest</dc:creator>
  <cp:lastModifiedBy>guest</cp:lastModifiedBy>
  <dcterms:modified xsi:type="dcterms:W3CDTF">2025-03-20T17:49:11Z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